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66" w:rsidRDefault="00FF3D7D" w:rsidP="002C29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к </w:t>
      </w:r>
      <w:r w:rsidR="00145366">
        <w:rPr>
          <w:rFonts w:ascii="Times New Roman" w:hAnsi="Times New Roman" w:cs="Times New Roman"/>
          <w:b/>
          <w:sz w:val="24"/>
        </w:rPr>
        <w:t xml:space="preserve">проведению оценочных процедур по предметам </w:t>
      </w:r>
    </w:p>
    <w:p w:rsidR="00FF3D7D" w:rsidRDefault="00145366" w:rsidP="002C29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МБОУ «Чемашинская ООШ»</w:t>
      </w:r>
    </w:p>
    <w:p w:rsidR="00145366" w:rsidRDefault="001C2C18" w:rsidP="001C2C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45366">
        <w:rPr>
          <w:rFonts w:ascii="Times New Roman" w:hAnsi="Times New Roman" w:cs="Times New Roman"/>
          <w:sz w:val="24"/>
        </w:rPr>
        <w:t>Основание для проведения оценочных процедур:</w:t>
      </w:r>
    </w:p>
    <w:p w:rsidR="005A18BB" w:rsidRPr="005A18BB" w:rsidRDefault="005A18BB" w:rsidP="005A18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18BB">
        <w:rPr>
          <w:rFonts w:ascii="Times New Roman" w:hAnsi="Times New Roman" w:cs="Times New Roman"/>
          <w:sz w:val="24"/>
        </w:rPr>
        <w:t>Федеральный закон ФЗ – 273 «Об образовании в Российской Федерации» (п.3 ст.28).</w:t>
      </w:r>
    </w:p>
    <w:p w:rsidR="001C2C18" w:rsidRDefault="00145366" w:rsidP="005A18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18BB">
        <w:rPr>
          <w:rFonts w:ascii="Times New Roman" w:hAnsi="Times New Roman" w:cs="Times New Roman"/>
          <w:sz w:val="24"/>
        </w:rPr>
        <w:t>Совместное</w:t>
      </w:r>
      <w:r w:rsidR="001C2C18" w:rsidRPr="005A18BB">
        <w:rPr>
          <w:rFonts w:ascii="Times New Roman" w:hAnsi="Times New Roman" w:cs="Times New Roman"/>
          <w:sz w:val="24"/>
        </w:rPr>
        <w:t xml:space="preserve"> Письм</w:t>
      </w:r>
      <w:r w:rsidRPr="005A18BB">
        <w:rPr>
          <w:rFonts w:ascii="Times New Roman" w:hAnsi="Times New Roman" w:cs="Times New Roman"/>
          <w:sz w:val="24"/>
        </w:rPr>
        <w:t>о</w:t>
      </w:r>
      <w:r w:rsidR="001C2C18" w:rsidRPr="005A18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C18" w:rsidRPr="005A18B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1C2C18" w:rsidRPr="005A18BB">
        <w:rPr>
          <w:rFonts w:ascii="Times New Roman" w:hAnsi="Times New Roman" w:cs="Times New Roman"/>
          <w:sz w:val="24"/>
        </w:rPr>
        <w:t xml:space="preserve"> России от 06.08.2021 г. № СК- 228/3 и Письм</w:t>
      </w:r>
      <w:r w:rsidRPr="005A18BB">
        <w:rPr>
          <w:rFonts w:ascii="Times New Roman" w:hAnsi="Times New Roman" w:cs="Times New Roman"/>
          <w:sz w:val="24"/>
        </w:rPr>
        <w:t>о</w:t>
      </w:r>
      <w:r w:rsidR="001C2C18" w:rsidRPr="005A18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C18" w:rsidRPr="005A18BB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="001C2C18" w:rsidRPr="005A18BB">
        <w:rPr>
          <w:rFonts w:ascii="Times New Roman" w:hAnsi="Times New Roman" w:cs="Times New Roman"/>
          <w:sz w:val="24"/>
        </w:rPr>
        <w:t xml:space="preserve"> от 06.08.2021 г. №01 – 169/08-01 «Рекомендации для системы общего </w:t>
      </w:r>
      <w:proofErr w:type="gramStart"/>
      <w:r w:rsidR="001C2C18" w:rsidRPr="005A18BB">
        <w:rPr>
          <w:rFonts w:ascii="Times New Roman" w:hAnsi="Times New Roman" w:cs="Times New Roman"/>
          <w:sz w:val="24"/>
        </w:rPr>
        <w:t>образования  по</w:t>
      </w:r>
      <w:proofErr w:type="gramEnd"/>
      <w:r w:rsidR="001C2C18" w:rsidRPr="005A18BB">
        <w:rPr>
          <w:rFonts w:ascii="Times New Roman" w:hAnsi="Times New Roman" w:cs="Times New Roman"/>
          <w:sz w:val="24"/>
        </w:rPr>
        <w:t xml:space="preserve"> основным подходам к формированию графика проведения оценочных процедур в общеобразовательных организациях»</w:t>
      </w:r>
      <w:r w:rsidR="005A18BB">
        <w:rPr>
          <w:rFonts w:ascii="Times New Roman" w:hAnsi="Times New Roman" w:cs="Times New Roman"/>
          <w:sz w:val="24"/>
        </w:rPr>
        <w:t>.</w:t>
      </w:r>
    </w:p>
    <w:p w:rsidR="005A18BB" w:rsidRPr="005A18BB" w:rsidRDefault="005A18BB" w:rsidP="005A18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ВСОКО МБОУ «Чемашинская ООШ».</w:t>
      </w:r>
      <w:bookmarkStart w:id="0" w:name="_GoBack"/>
      <w:bookmarkEnd w:id="0"/>
    </w:p>
    <w:p w:rsidR="001C2C18" w:rsidRDefault="001C2C18" w:rsidP="001C2C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текущего контроля или промежуточной аттестации обучающихся нацелена на оценку достижения каждым обучающимся требованиям к предметным и/или </w:t>
      </w:r>
      <w:proofErr w:type="spellStart"/>
      <w:r>
        <w:rPr>
          <w:rFonts w:ascii="Times New Roman" w:hAnsi="Times New Roman" w:cs="Times New Roman"/>
          <w:sz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результатам обучения в соответствии с ФГОС.</w:t>
      </w:r>
    </w:p>
    <w:p w:rsidR="001C2C18" w:rsidRDefault="001C2C18" w:rsidP="001C2C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Уровни оценочных процедур:</w:t>
      </w:r>
    </w:p>
    <w:p w:rsidR="001C2C18" w:rsidRDefault="001C2C18" w:rsidP="001C2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Федеральные работы (мониторинг – оценивается качество образования, учебные и </w:t>
      </w:r>
      <w:proofErr w:type="spellStart"/>
      <w:r>
        <w:rPr>
          <w:rFonts w:ascii="Times New Roman" w:hAnsi="Times New Roman" w:cs="Times New Roman"/>
          <w:sz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</w:rPr>
        <w:t xml:space="preserve"> достижения школьников).</w:t>
      </w:r>
    </w:p>
    <w:p w:rsidR="001C2C18" w:rsidRDefault="001C2C18" w:rsidP="001C2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Региональные работы (учитываются социально-экономические, экологические, демографические, этнокультурные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 другие особенности субъекта РФ)</w:t>
      </w:r>
    </w:p>
    <w:p w:rsidR="0079452D" w:rsidRDefault="0079452D" w:rsidP="001C2C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Школьный уровень (текущая и промежуточная аттестация школьников).</w:t>
      </w:r>
    </w:p>
    <w:p w:rsidR="0079452D" w:rsidRPr="0079452D" w:rsidRDefault="0079452D" w:rsidP="0079452D">
      <w:pPr>
        <w:ind w:firstLine="360"/>
        <w:jc w:val="both"/>
        <w:rPr>
          <w:rFonts w:ascii="Times New Roman" w:hAnsi="Times New Roman" w:cs="Times New Roman"/>
          <w:sz w:val="24"/>
        </w:rPr>
      </w:pPr>
      <w:r w:rsidRPr="0079452D">
        <w:rPr>
          <w:rFonts w:ascii="Times New Roman" w:hAnsi="Times New Roman" w:cs="Times New Roman"/>
          <w:sz w:val="24"/>
        </w:rPr>
        <w:t>По каждому учебному предмету в одной параллели классов работы можно проводить не чаще 1 раза в 2,5 недели. Объём учебного времени, который отводится для оценочных процедур, не должен превышать 10% от всего объёма учебного времени, отводимого на изучение данного учебного предмета в данной параллели в текущем учебном году. Запрещено проводить работы на первом и последнем уроках. Исключение – те предметы, по которым проводится не более 1 урока в неделю, причём этот урок является первым или последним в расписании.</w:t>
      </w:r>
    </w:p>
    <w:p w:rsidR="0079452D" w:rsidRDefault="0079452D" w:rsidP="007945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Запрещено проводить для одного класса более одной оценочной процедуры в день.</w:t>
      </w:r>
    </w:p>
    <w:p w:rsidR="0079452D" w:rsidRPr="0079452D" w:rsidRDefault="0079452D" w:rsidP="007945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Нельзя проводить «предварительные» контрольные или проверочные работы непосредственно перед планируемой датой проведения оценочной процедуры, а также запрещено накануне работы многократно выполнять однотипные задания для подготовки к конкретной оценочной процедуре.</w:t>
      </w:r>
    </w:p>
    <w:p w:rsidR="00FF3D7D" w:rsidRDefault="00FF3D7D" w:rsidP="00FF3D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контрольной работой подразумевается письменная контрольная работа, а именно: контрольный диктант, контрольное изложение, сочинение, контрольное тестирование, контрольный зачёт, контрольная работа.</w:t>
      </w:r>
    </w:p>
    <w:p w:rsidR="00B332AD" w:rsidRDefault="00B332AD" w:rsidP="00FF3D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Контрольная работа является показателем эффективности учебного процесса.</w:t>
      </w:r>
    </w:p>
    <w:p w:rsidR="00FF3D7D" w:rsidRDefault="00FF3D7D" w:rsidP="00FF3D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Эффективность </w:t>
      </w:r>
      <w:r w:rsidR="00B332AD">
        <w:rPr>
          <w:rFonts w:ascii="Times New Roman" w:hAnsi="Times New Roman" w:cs="Times New Roman"/>
          <w:sz w:val="24"/>
        </w:rPr>
        <w:t>анализируется следующими показателями:</w:t>
      </w:r>
    </w:p>
    <w:p w:rsidR="00B332AD" w:rsidRDefault="00B332AD" w:rsidP="00B332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Результативность;</w:t>
      </w:r>
    </w:p>
    <w:p w:rsidR="00B332AD" w:rsidRDefault="00B332AD" w:rsidP="00B332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Объективность оценивания;</w:t>
      </w:r>
    </w:p>
    <w:p w:rsidR="00B332AD" w:rsidRDefault="00B332AD" w:rsidP="00B332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Глубина усвоения учебного материала (состояние работы с сильными </w:t>
      </w:r>
      <w:proofErr w:type="spellStart"/>
      <w:r>
        <w:rPr>
          <w:rFonts w:ascii="Times New Roman" w:hAnsi="Times New Roman" w:cs="Times New Roman"/>
          <w:sz w:val="24"/>
        </w:rPr>
        <w:t>уачщимися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B332AD" w:rsidRDefault="00B332AD" w:rsidP="00B332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реализации учебных возможностей учащихся;</w:t>
      </w:r>
    </w:p>
    <w:p w:rsidR="00B332AD" w:rsidRDefault="00B332AD" w:rsidP="00B332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Состояние работы со слабыми учащимися.</w:t>
      </w:r>
    </w:p>
    <w:p w:rsidR="00B332AD" w:rsidRDefault="00B332AD" w:rsidP="00B332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Результативность выявляется в ходе анализа письменных контрольных работ и определяется процентным соотношением предложенного учителем объёма заданий и выполненного учеником. Если полученная результативность совпадает с прогнозируемым уровнем реальных возможностей учащихся или превышает этот показатель, то работа учителя считается эффективной.</w:t>
      </w:r>
    </w:p>
    <w:p w:rsidR="00B332AD" w:rsidRDefault="00B332AD" w:rsidP="00B332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разница между прогнозируемым и фактическим результатом составляет менее 10%, считается, что отметки выставлены объективно и достоверно отражают учебные возможности обучающихся.</w:t>
      </w:r>
    </w:p>
    <w:p w:rsidR="00B332AD" w:rsidRDefault="00B332AD" w:rsidP="00B332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Глубина усвоения учебного материала определяется состоянием работы с сильными учениками. Этот показатель считается эффективным, если полученный в ходе работы показатель совпадает с прогнозируемым или превышает его.</w:t>
      </w:r>
    </w:p>
    <w:p w:rsidR="00B332AD" w:rsidRPr="00B332AD" w:rsidRDefault="00B332AD" w:rsidP="00B332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Состояние работы учителя со слабоуспевающими учащимися считается положительным, если результаты контрольной работы</w:t>
      </w:r>
      <w:r w:rsidR="003D6896">
        <w:rPr>
          <w:rFonts w:ascii="Times New Roman" w:hAnsi="Times New Roman" w:cs="Times New Roman"/>
          <w:sz w:val="24"/>
        </w:rPr>
        <w:t xml:space="preserve"> показывают об уменьшении числа учащихся, не сумевших выполнить задание. Этот показатель свидетельствует об эффективной работе учителя со слабоуспевающими учащимися</w:t>
      </w:r>
    </w:p>
    <w:p w:rsidR="003601CE" w:rsidRDefault="002C29BB" w:rsidP="002C29BB">
      <w:pPr>
        <w:jc w:val="center"/>
        <w:rPr>
          <w:rFonts w:ascii="Times New Roman" w:hAnsi="Times New Roman" w:cs="Times New Roman"/>
          <w:b/>
          <w:sz w:val="24"/>
        </w:rPr>
      </w:pPr>
      <w:r w:rsidRPr="002C29BB">
        <w:rPr>
          <w:rFonts w:ascii="Times New Roman" w:hAnsi="Times New Roman" w:cs="Times New Roman"/>
          <w:b/>
          <w:sz w:val="24"/>
        </w:rPr>
        <w:t xml:space="preserve">Единая схема анализа </w:t>
      </w:r>
      <w:r w:rsidR="00F13D7E">
        <w:rPr>
          <w:rFonts w:ascii="Times New Roman" w:hAnsi="Times New Roman" w:cs="Times New Roman"/>
          <w:b/>
          <w:sz w:val="24"/>
        </w:rPr>
        <w:t>оценочной процедуры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Предмет_______________________________________________________________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Класс _________________________________________________________________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Учитель _______________________________________________________________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Дата проведения ________________________________________________________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 xml:space="preserve">Форма проведения ________________________________________________ (контрольная работа, </w:t>
      </w:r>
      <w:r w:rsidR="00F13D7E">
        <w:rPr>
          <w:rFonts w:ascii="Times New Roman" w:hAnsi="Times New Roman" w:cs="Times New Roman"/>
          <w:sz w:val="24"/>
        </w:rPr>
        <w:t xml:space="preserve">диагностическая работа, </w:t>
      </w:r>
      <w:r w:rsidRPr="00145366">
        <w:rPr>
          <w:rFonts w:ascii="Times New Roman" w:hAnsi="Times New Roman" w:cs="Times New Roman"/>
          <w:sz w:val="24"/>
        </w:rPr>
        <w:t>тест или иная форма)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Цель проведения контрольной работы _____________________________________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(указать, в рамках каких мероприятий проводится контрольная работа, на выявление уровня усвоения обучающимися каких тем направлена и т.д.)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 xml:space="preserve">Всего в классе обучающихся </w:t>
      </w:r>
      <w:proofErr w:type="gramStart"/>
      <w:r w:rsidRPr="00145366">
        <w:rPr>
          <w:rFonts w:ascii="Times New Roman" w:hAnsi="Times New Roman" w:cs="Times New Roman"/>
          <w:sz w:val="24"/>
        </w:rPr>
        <w:t>–  человек</w:t>
      </w:r>
      <w:proofErr w:type="gramEnd"/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Выполняли работу – человек</w:t>
      </w:r>
    </w:p>
    <w:p w:rsidR="002C29BB" w:rsidRDefault="002C29BB" w:rsidP="002C29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выполнения: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34"/>
        <w:gridCol w:w="1120"/>
        <w:gridCol w:w="684"/>
        <w:gridCol w:w="1176"/>
        <w:gridCol w:w="628"/>
        <w:gridCol w:w="1176"/>
        <w:gridCol w:w="628"/>
        <w:gridCol w:w="1770"/>
      </w:tblGrid>
      <w:tr w:rsidR="002C29BB" w:rsidTr="002C29BB">
        <w:tc>
          <w:tcPr>
            <w:tcW w:w="1129" w:type="dxa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034" w:type="dxa"/>
            <w:vMerge w:val="restart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0" w:type="dxa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684" w:type="dxa"/>
            <w:vMerge w:val="restart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76" w:type="dxa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628" w:type="dxa"/>
            <w:vMerge w:val="restart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76" w:type="dxa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628" w:type="dxa"/>
            <w:vMerge w:val="restart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70" w:type="dxa"/>
          </w:tcPr>
          <w:p w:rsidR="002C29BB" w:rsidRPr="00145366" w:rsidRDefault="002C29BB" w:rsidP="002C29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9BB" w:rsidTr="002C29BB">
        <w:tc>
          <w:tcPr>
            <w:tcW w:w="1129" w:type="dxa"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034" w:type="dxa"/>
            <w:vMerge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684" w:type="dxa"/>
            <w:vMerge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628" w:type="dxa"/>
            <w:vMerge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628" w:type="dxa"/>
            <w:vMerge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2C29BB" w:rsidRPr="00145366" w:rsidRDefault="002C29BB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319" w:rsidTr="002C29BB">
        <w:tc>
          <w:tcPr>
            <w:tcW w:w="1129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4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785319" w:rsidRPr="00145366" w:rsidRDefault="00785319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5366" w:rsidRPr="00145366" w:rsidRDefault="00145366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Результативность:</w:t>
      </w:r>
    </w:p>
    <w:p w:rsidR="00145366" w:rsidRPr="00145366" w:rsidRDefault="00145366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Высокая – 70 – 100%</w:t>
      </w:r>
    </w:p>
    <w:p w:rsidR="00145366" w:rsidRPr="00145366" w:rsidRDefault="00145366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Достаточная – 60 – 69%</w:t>
      </w:r>
    </w:p>
    <w:p w:rsidR="00145366" w:rsidRPr="00145366" w:rsidRDefault="00145366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Низкая 59% и менее.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Успеваемость - %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Качество знаний - %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lastRenderedPageBreak/>
        <w:t xml:space="preserve">Средний балл – 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 xml:space="preserve">Средняя отметка – </w:t>
      </w:r>
    </w:p>
    <w:p w:rsidR="002C29BB" w:rsidRPr="00145366" w:rsidRDefault="002C29BB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Анализ подтверждения обучающимися класса отметок за контрольные работы результатов успеваемости за период четверти, полугодия, результатов предыдущей контрольной работы</w:t>
      </w:r>
      <w:r w:rsidR="00FF3D7D" w:rsidRPr="00145366">
        <w:rPr>
          <w:rFonts w:ascii="Times New Roman" w:hAnsi="Times New Roman" w:cs="Times New Roman"/>
          <w:sz w:val="24"/>
        </w:rPr>
        <w:t>; показателей успеваемости и качества знаний:</w:t>
      </w:r>
    </w:p>
    <w:p w:rsidR="00FF3D7D" w:rsidRPr="00145366" w:rsidRDefault="00FF3D7D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 xml:space="preserve"> - (указать количество) обучающихся подтвердили отметки - %</w:t>
      </w:r>
    </w:p>
    <w:p w:rsidR="00FF3D7D" w:rsidRPr="00145366" w:rsidRDefault="00FF3D7D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- (указать количество) обучающихся не подтвердили отметки - %</w:t>
      </w:r>
    </w:p>
    <w:p w:rsidR="00FF3D7D" w:rsidRPr="00145366" w:rsidRDefault="00FF3D7D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- (указать количество) обучающихся показали результат выше - %</w:t>
      </w:r>
    </w:p>
    <w:p w:rsidR="00FF3D7D" w:rsidRPr="00145366" w:rsidRDefault="00FF3D7D" w:rsidP="002C29BB">
      <w:pPr>
        <w:jc w:val="both"/>
        <w:rPr>
          <w:rFonts w:ascii="Times New Roman" w:hAnsi="Times New Roman" w:cs="Times New Roman"/>
          <w:sz w:val="24"/>
        </w:rPr>
      </w:pPr>
      <w:r w:rsidRPr="00145366">
        <w:rPr>
          <w:rFonts w:ascii="Times New Roman" w:hAnsi="Times New Roman" w:cs="Times New Roman"/>
          <w:sz w:val="24"/>
        </w:rPr>
        <w:t>- (указать количество) обучающихся показали результат ниже - %</w:t>
      </w:r>
    </w:p>
    <w:p w:rsidR="00FF3D7D" w:rsidRDefault="00FF3D7D" w:rsidP="002C29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Показатели успеваемости и качества знаний: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3D7D" w:rsidTr="00FF3D7D">
        <w:tc>
          <w:tcPr>
            <w:tcW w:w="4672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 период 1 четверти (полугодия, предыдущей контрольной работы)</w:t>
            </w:r>
          </w:p>
        </w:tc>
        <w:tc>
          <w:tcPr>
            <w:tcW w:w="4673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 текущую контрольную работу</w:t>
            </w:r>
          </w:p>
        </w:tc>
      </w:tr>
      <w:tr w:rsidR="00FF3D7D" w:rsidTr="00FF3D7D">
        <w:tc>
          <w:tcPr>
            <w:tcW w:w="4672" w:type="dxa"/>
          </w:tcPr>
          <w:p w:rsidR="00FF3D7D" w:rsidRPr="00145366" w:rsidRDefault="00FF3D7D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Успеваемость в %</w:t>
            </w:r>
          </w:p>
        </w:tc>
        <w:tc>
          <w:tcPr>
            <w:tcW w:w="4673" w:type="dxa"/>
          </w:tcPr>
          <w:p w:rsidR="00FF3D7D" w:rsidRPr="00145366" w:rsidRDefault="00FF3D7D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D7D" w:rsidTr="00FF3D7D">
        <w:tc>
          <w:tcPr>
            <w:tcW w:w="4672" w:type="dxa"/>
          </w:tcPr>
          <w:p w:rsidR="00FF3D7D" w:rsidRPr="00145366" w:rsidRDefault="00FF3D7D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366">
              <w:rPr>
                <w:rFonts w:ascii="Times New Roman" w:hAnsi="Times New Roman" w:cs="Times New Roman"/>
                <w:sz w:val="24"/>
              </w:rPr>
              <w:t>Качество знаний в %</w:t>
            </w:r>
          </w:p>
        </w:tc>
        <w:tc>
          <w:tcPr>
            <w:tcW w:w="4673" w:type="dxa"/>
          </w:tcPr>
          <w:p w:rsidR="00FF3D7D" w:rsidRPr="00145366" w:rsidRDefault="00FF3D7D" w:rsidP="002C29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D7D" w:rsidRDefault="00FF3D7D" w:rsidP="002C29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F3D7D" w:rsidRDefault="00FF3D7D" w:rsidP="002C29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допущенных ошибок: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3D7D" w:rsidTr="00FF3D7D">
        <w:tc>
          <w:tcPr>
            <w:tcW w:w="4672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(название задания, которое выполняли обучающиеся</w:t>
            </w:r>
          </w:p>
        </w:tc>
        <w:tc>
          <w:tcPr>
            <w:tcW w:w="4673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обучающихся, допустивших наибольшее количество ошибок по данной теме (заданию)</w:t>
            </w:r>
          </w:p>
        </w:tc>
      </w:tr>
      <w:tr w:rsidR="00FF3D7D" w:rsidTr="00FF3D7D">
        <w:tc>
          <w:tcPr>
            <w:tcW w:w="4672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FF3D7D" w:rsidRDefault="00FF3D7D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45366" w:rsidRDefault="00145366" w:rsidP="002C29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Выводы: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5366" w:rsidTr="00145366">
        <w:tc>
          <w:tcPr>
            <w:tcW w:w="2336" w:type="dxa"/>
          </w:tcPr>
          <w:p w:rsidR="00145366" w:rsidRDefault="00145366" w:rsidP="00145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подготовки обучающихся</w:t>
            </w:r>
          </w:p>
        </w:tc>
        <w:tc>
          <w:tcPr>
            <w:tcW w:w="2336" w:type="dxa"/>
          </w:tcPr>
          <w:p w:rsidR="00145366" w:rsidRDefault="00145366" w:rsidP="00145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риска, не достигших уровня базовой подготовки</w:t>
            </w:r>
          </w:p>
          <w:p w:rsidR="00145366" w:rsidRDefault="00145366" w:rsidP="00145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2336" w:type="dxa"/>
          </w:tcPr>
          <w:p w:rsidR="00145366" w:rsidRDefault="00145366" w:rsidP="00145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обучающихся, достигших уровня базовой подготовки, но не превышает его»3», «4»</w:t>
            </w:r>
          </w:p>
        </w:tc>
        <w:tc>
          <w:tcPr>
            <w:tcW w:w="2337" w:type="dxa"/>
          </w:tcPr>
          <w:p w:rsidR="00145366" w:rsidRDefault="00145366" w:rsidP="00145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обучающихся. Достигших более высокого уровня «5»</w:t>
            </w:r>
          </w:p>
        </w:tc>
      </w:tr>
      <w:tr w:rsidR="00145366" w:rsidTr="00145366">
        <w:tc>
          <w:tcPr>
            <w:tcW w:w="2336" w:type="dxa"/>
          </w:tcPr>
          <w:p w:rsidR="00145366" w:rsidRDefault="00145366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6" w:type="dxa"/>
          </w:tcPr>
          <w:p w:rsidR="00145366" w:rsidRDefault="00145366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6" w:type="dxa"/>
          </w:tcPr>
          <w:p w:rsidR="00145366" w:rsidRDefault="00145366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7" w:type="dxa"/>
          </w:tcPr>
          <w:p w:rsidR="00145366" w:rsidRDefault="00145366" w:rsidP="002C29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45366" w:rsidRDefault="00145366" w:rsidP="002C29BB">
      <w:pPr>
        <w:jc w:val="both"/>
        <w:rPr>
          <w:rFonts w:ascii="Times New Roman" w:hAnsi="Times New Roman" w:cs="Times New Roman"/>
          <w:b/>
          <w:sz w:val="24"/>
        </w:rPr>
      </w:pPr>
    </w:p>
    <w:p w:rsidR="00FF3D7D" w:rsidRDefault="00FF3D7D" w:rsidP="002C29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Предложения:</w:t>
      </w:r>
    </w:p>
    <w:p w:rsidR="00785319" w:rsidRDefault="00785319" w:rsidP="002C29BB">
      <w:pPr>
        <w:jc w:val="both"/>
        <w:rPr>
          <w:rFonts w:ascii="Times New Roman" w:hAnsi="Times New Roman" w:cs="Times New Roman"/>
          <w:b/>
          <w:sz w:val="24"/>
        </w:rPr>
      </w:pPr>
    </w:p>
    <w:p w:rsidR="00785319" w:rsidRPr="000B5ECC" w:rsidRDefault="00785319" w:rsidP="002C29BB">
      <w:pPr>
        <w:jc w:val="both"/>
        <w:rPr>
          <w:rFonts w:ascii="Times New Roman" w:hAnsi="Times New Roman" w:cs="Times New Roman"/>
          <w:sz w:val="24"/>
        </w:rPr>
      </w:pPr>
      <w:r w:rsidRPr="000B5ECC">
        <w:rPr>
          <w:rFonts w:ascii="Times New Roman" w:hAnsi="Times New Roman" w:cs="Times New Roman"/>
          <w:sz w:val="24"/>
        </w:rPr>
        <w:t>Дата выполнения анализа</w:t>
      </w:r>
    </w:p>
    <w:p w:rsidR="00785319" w:rsidRPr="000B5ECC" w:rsidRDefault="00785319" w:rsidP="002C29BB">
      <w:pPr>
        <w:jc w:val="both"/>
        <w:rPr>
          <w:rFonts w:ascii="Times New Roman" w:hAnsi="Times New Roman" w:cs="Times New Roman"/>
          <w:sz w:val="24"/>
        </w:rPr>
      </w:pPr>
      <w:r w:rsidRPr="000B5ECC">
        <w:rPr>
          <w:rFonts w:ascii="Times New Roman" w:hAnsi="Times New Roman" w:cs="Times New Roman"/>
          <w:sz w:val="24"/>
        </w:rPr>
        <w:t>Подпись учителя и его расшифровка</w:t>
      </w:r>
    </w:p>
    <w:sectPr w:rsidR="00785319" w:rsidRPr="000B5ECC" w:rsidSect="00785319">
      <w:footerReference w:type="default" r:id="rId7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5A" w:rsidRDefault="008B255A" w:rsidP="00145366">
      <w:pPr>
        <w:spacing w:after="0" w:line="240" w:lineRule="auto"/>
      </w:pPr>
      <w:r>
        <w:separator/>
      </w:r>
    </w:p>
  </w:endnote>
  <w:endnote w:type="continuationSeparator" w:id="0">
    <w:p w:rsidR="008B255A" w:rsidRDefault="008B255A" w:rsidP="001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139705"/>
      <w:docPartObj>
        <w:docPartGallery w:val="Page Numbers (Bottom of Page)"/>
        <w:docPartUnique/>
      </w:docPartObj>
    </w:sdtPr>
    <w:sdtContent>
      <w:p w:rsidR="00145366" w:rsidRDefault="001453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BB">
          <w:rPr>
            <w:noProof/>
          </w:rPr>
          <w:t>3</w:t>
        </w:r>
        <w:r>
          <w:fldChar w:fldCharType="end"/>
        </w:r>
      </w:p>
    </w:sdtContent>
  </w:sdt>
  <w:p w:rsidR="00145366" w:rsidRDefault="001453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5A" w:rsidRDefault="008B255A" w:rsidP="00145366">
      <w:pPr>
        <w:spacing w:after="0" w:line="240" w:lineRule="auto"/>
      </w:pPr>
      <w:r>
        <w:separator/>
      </w:r>
    </w:p>
  </w:footnote>
  <w:footnote w:type="continuationSeparator" w:id="0">
    <w:p w:rsidR="008B255A" w:rsidRDefault="008B255A" w:rsidP="0014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61F9"/>
    <w:multiLevelType w:val="hybridMultilevel"/>
    <w:tmpl w:val="A59C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1B4"/>
    <w:multiLevelType w:val="hybridMultilevel"/>
    <w:tmpl w:val="AF88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E13CB"/>
    <w:multiLevelType w:val="hybridMultilevel"/>
    <w:tmpl w:val="C37A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15"/>
    <w:rsid w:val="000B5ECC"/>
    <w:rsid w:val="00145366"/>
    <w:rsid w:val="001C2C18"/>
    <w:rsid w:val="002C29BB"/>
    <w:rsid w:val="003601CE"/>
    <w:rsid w:val="003D6896"/>
    <w:rsid w:val="005A18BB"/>
    <w:rsid w:val="00785319"/>
    <w:rsid w:val="0079452D"/>
    <w:rsid w:val="008B255A"/>
    <w:rsid w:val="00962294"/>
    <w:rsid w:val="00B332AD"/>
    <w:rsid w:val="00E85B15"/>
    <w:rsid w:val="00F13D7E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206D0-45BF-43D5-A8E2-2135F25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366"/>
  </w:style>
  <w:style w:type="paragraph" w:styleId="a7">
    <w:name w:val="footer"/>
    <w:basedOn w:val="a"/>
    <w:link w:val="a8"/>
    <w:uiPriority w:val="99"/>
    <w:unhideWhenUsed/>
    <w:rsid w:val="0014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2023-10-23T23:24:00Z</dcterms:created>
  <dcterms:modified xsi:type="dcterms:W3CDTF">2023-10-24T00:36:00Z</dcterms:modified>
</cp:coreProperties>
</file>